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E8" w:rsidRPr="004F69E8" w:rsidRDefault="004F69E8" w:rsidP="004F69E8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</w:rPr>
      </w:pPr>
      <w:r w:rsidRPr="004F69E8">
        <w:rPr>
          <w:rFonts w:ascii="PT Serif" w:eastAsia="Times New Roman" w:hAnsi="PT Serif" w:cs="Times New Roman"/>
          <w:kern w:val="36"/>
          <w:sz w:val="38"/>
          <w:szCs w:val="38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4F69E8">
        <w:rPr>
          <w:rFonts w:ascii="PT Serif" w:eastAsia="Times New Roman" w:hAnsi="PT Serif" w:cs="Times New Roman"/>
          <w:kern w:val="36"/>
          <w:sz w:val="38"/>
          <w:szCs w:val="38"/>
        </w:rPr>
        <w:t>от</w:t>
      </w:r>
      <w:proofErr w:type="gramEnd"/>
    </w:p>
    <w:p w:rsidR="004F69E8" w:rsidRPr="004F69E8" w:rsidRDefault="004F69E8" w:rsidP="004F69E8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</w:rPr>
      </w:pPr>
      <w:r w:rsidRPr="004F69E8">
        <w:rPr>
          <w:rFonts w:ascii="PT Serif" w:eastAsia="Times New Roman" w:hAnsi="PT Serif" w:cs="Times New Roman"/>
          <w:sz w:val="23"/>
          <w:szCs w:val="23"/>
        </w:rPr>
        <w:t xml:space="preserve">"Об утверждении </w:t>
      </w:r>
      <w:proofErr w:type="spellStart"/>
      <w:r w:rsidRPr="004F69E8">
        <w:rPr>
          <w:rFonts w:ascii="PT Serif" w:eastAsia="Times New Roman" w:hAnsi="PT Serif" w:cs="Times New Roman"/>
          <w:sz w:val="23"/>
          <w:szCs w:val="23"/>
        </w:rPr>
        <w:t>СанПиН</w:t>
      </w:r>
      <w:proofErr w:type="spellEnd"/>
      <w:r w:rsidRPr="004F69E8">
        <w:rPr>
          <w:rFonts w:ascii="PT Serif" w:eastAsia="Times New Roman" w:hAnsi="PT Serif" w:cs="Times New Roman"/>
          <w:sz w:val="23"/>
          <w:szCs w:val="23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  <w:r w:rsidRPr="004F69E8">
        <w:rPr>
          <w:rFonts w:ascii="PT Serif" w:eastAsia="Times New Roman" w:hAnsi="PT Serif" w:cs="Times New Roman"/>
          <w:sz w:val="23"/>
        </w:rPr>
        <w:t> </w:t>
      </w:r>
      <w:hyperlink r:id="rId4" w:anchor="comments" w:history="1">
        <w:r w:rsidRPr="004F69E8">
          <w:rPr>
            <w:rFonts w:ascii="Tahoma" w:eastAsia="Times New Roman" w:hAnsi="Tahoma" w:cs="Tahoma"/>
            <w:color w:val="FFFFFF"/>
            <w:sz w:val="14"/>
          </w:rPr>
          <w:t>1</w:t>
        </w:r>
      </w:hyperlink>
    </w:p>
    <w:p w:rsidR="004F69E8" w:rsidRPr="004F69E8" w:rsidRDefault="004F69E8" w:rsidP="004F69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4F69E8">
        <w:rPr>
          <w:rFonts w:ascii="Arial" w:eastAsia="Times New Roman" w:hAnsi="Arial" w:cs="Arial"/>
          <w:color w:val="B5B5B5"/>
          <w:sz w:val="17"/>
        </w:rPr>
        <w:t>Опубликовано:</w:t>
      </w:r>
      <w:r w:rsidRPr="004F69E8">
        <w:rPr>
          <w:rFonts w:ascii="Arial" w:eastAsia="Times New Roman" w:hAnsi="Arial" w:cs="Arial"/>
          <w:color w:val="373737"/>
          <w:sz w:val="17"/>
        </w:rPr>
        <w:t> </w:t>
      </w:r>
      <w:r w:rsidRPr="004F69E8">
        <w:rPr>
          <w:rFonts w:ascii="Arial" w:eastAsia="Times New Roman" w:hAnsi="Arial" w:cs="Arial"/>
          <w:color w:val="373737"/>
          <w:sz w:val="17"/>
          <w:szCs w:val="17"/>
        </w:rPr>
        <w:t>19 июля 2013 г. в</w:t>
      </w:r>
      <w:r w:rsidRPr="004F69E8">
        <w:rPr>
          <w:rFonts w:ascii="Arial" w:eastAsia="Times New Roman" w:hAnsi="Arial" w:cs="Arial"/>
          <w:color w:val="373737"/>
          <w:sz w:val="17"/>
        </w:rPr>
        <w:t> </w:t>
      </w:r>
      <w:hyperlink r:id="rId5" w:history="1">
        <w:r w:rsidRPr="004F69E8">
          <w:rPr>
            <w:rFonts w:ascii="Arial" w:eastAsia="Times New Roman" w:hAnsi="Arial" w:cs="Arial"/>
            <w:color w:val="344A64"/>
            <w:sz w:val="17"/>
            <w:u w:val="single"/>
          </w:rPr>
          <w:t>"РГ" - Федеральный выпуск №6133</w:t>
        </w:r>
        <w:proofErr w:type="gramStart"/>
      </w:hyperlink>
      <w:r w:rsidRPr="004F69E8">
        <w:rPr>
          <w:rFonts w:ascii="Arial" w:eastAsia="Times New Roman" w:hAnsi="Arial" w:cs="Arial"/>
          <w:color w:val="373737"/>
          <w:sz w:val="17"/>
        </w:rPr>
        <w:t> </w:t>
      </w:r>
      <w:r w:rsidRPr="004F69E8">
        <w:rPr>
          <w:rFonts w:ascii="Arial" w:eastAsia="Times New Roman" w:hAnsi="Arial" w:cs="Arial"/>
          <w:color w:val="373737"/>
          <w:sz w:val="17"/>
          <w:szCs w:val="17"/>
        </w:rPr>
        <w:br/>
      </w:r>
      <w:r w:rsidRPr="004F69E8">
        <w:rPr>
          <w:rFonts w:ascii="Arial" w:eastAsia="Times New Roman" w:hAnsi="Arial" w:cs="Arial"/>
          <w:color w:val="B5B5B5"/>
          <w:sz w:val="17"/>
        </w:rPr>
        <w:t>В</w:t>
      </w:r>
      <w:proofErr w:type="gramEnd"/>
      <w:r w:rsidRPr="004F69E8">
        <w:rPr>
          <w:rFonts w:ascii="Arial" w:eastAsia="Times New Roman" w:hAnsi="Arial" w:cs="Arial"/>
          <w:color w:val="B5B5B5"/>
          <w:sz w:val="17"/>
        </w:rPr>
        <w:t>ступает в силу:</w:t>
      </w:r>
      <w:r w:rsidRPr="004F69E8">
        <w:rPr>
          <w:rFonts w:ascii="Arial" w:eastAsia="Times New Roman" w:hAnsi="Arial" w:cs="Arial"/>
          <w:color w:val="373737"/>
          <w:sz w:val="17"/>
          <w:szCs w:val="17"/>
        </w:rPr>
        <w:t>30 июля 2013 г.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Зарегистрировано в Минюсте РФ 29 мая 2013 г.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Регистрационный N 28564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Российской Федерации, 1999, N 14, ст. 1650; 2002, N 1 (ч. 1), ст. 2; 2003, N 2, ст. 167; 2003, N 27 (ч. 1), ст. 2700; 2004, N 35, ст. 3607; 2005, N 19, ст. 1752; 2006, N 1, ст. 10; 2006, N 52 (ч. 1) ст. 5498;2007, N 1 (ч. 1), ст. 21;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2007, N 1 (ч. 1), ст. 29; 2007, N 27, ст. 3213; 2007, N 46, ст. 5554; 2007, N 49, ст. 6070; 2008, N 24, ст. 2801; 2008, N 29 (ч. 1), ст. 3418; 2008, N 30 (ч. 2), ст. 3616; 2008, N 44, ст. 4984; 2008, N 52 (ч. 1), ст. 6223;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2009, N 1, ст. 17; 2010, N 40, ст. 4969; 2011, N 1, ст. 6; 25.07.2011, N 30 (ч. 1), ст. 4563, ст. 4590, ст. 4591, ст. 4596; 12.12.2011, N 50, ст. 7359; 11.06.2012, N 24, ст. 3069;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N 31, ст. 3295; 2004, N 8, ст. 663; 2004, N 47, ст. 4666; 2005, N 39, ст. 3953)</w:t>
      </w:r>
      <w:r w:rsidRPr="004F69E8">
        <w:rPr>
          <w:rFonts w:ascii="Arial" w:eastAsia="Times New Roman" w:hAnsi="Arial" w:cs="Arial"/>
          <w:color w:val="373737"/>
          <w:sz w:val="21"/>
        </w:rPr>
        <w:t> </w:t>
      </w: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постановляю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: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Г. Онищенко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  <w:u w:val="single"/>
        </w:rPr>
        <w:lastRenderedPageBreak/>
        <w:t>Приложение</w:t>
      </w:r>
    </w:p>
    <w:p w:rsidR="004F69E8" w:rsidRPr="004F69E8" w:rsidRDefault="004F69E8" w:rsidP="004119DD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4F69E8">
        <w:rPr>
          <w:rFonts w:ascii="Arial" w:eastAsia="Times New Roman" w:hAnsi="Arial" w:cs="Arial"/>
          <w:b/>
          <w:bCs/>
          <w:color w:val="373737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4F69E8">
        <w:rPr>
          <w:rFonts w:ascii="Arial" w:eastAsia="Times New Roman" w:hAnsi="Arial" w:cs="Arial"/>
          <w:b/>
          <w:bCs/>
          <w:color w:val="373737"/>
          <w:sz w:val="24"/>
          <w:szCs w:val="24"/>
        </w:rPr>
        <w:t>Санитарно-эпидемиологические правила и нормативы СанПиН 2.4.1.3049-13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I. Общие положения и область применения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условиям размещения дошкольных образовательных организаций,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оборудованию и содержанию территории,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помещениям, их оборудованию и содержанию,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естественному и искусственному освещению помещений,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отоплению и вентиляции,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водоснабжению и канализации,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организации питания,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приему детей в дошкольные образовательные организации,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организации режима дня,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организации физического воспитания,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личной гигиене персонала.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1.4.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]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1.9.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тяжелыми нарушениями речи - 6 и 10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фонетико-фонематическими нарушениями речи в возрасте старше 3 лет - 12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глухих детей - 6 детей для обеих возрастных групп;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слабослышащих детей - 6 и 8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для слепых детей - 6 детей для обеих возрастных групп;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для слабовидящих детей, для детей с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амблиопией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косоглазием - 6 и 10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нарушениями опорно-двигательного аппарата - 6 и 8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задержкой психического развития - 6 и 10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умственной отсталостью легкой степени - 6 и 10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умственной отсталостью умеренной, тяжелой в возрасте старше 3 лет - 8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аутизмом только в возрасте старше 3 лет - 5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Рекомендуемое количество детей в группах комбинированной направленности: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а) до 3 лет - не более 10 детей, в том числе не более 3 детей с ограниченными возможностями здоровья;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б) старше 3 лет: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не более 15 детей, в том числе не более 4 слабовидящих и (или) детей с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амблиопией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не более 17 детей, в том числе не более 5 детей с задержкой психического развития.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II. Требования к размещению дошкольных 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2.2. В районах Крайнего Севера обеспечивается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ветро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- и снегозащита территорий дошкольных образовательных организаций.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III. Требования к оборудованию и содержанию территорий 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3.5. На территории дошкольной образовательной организации выделяются игровая и хозяйственная зоны.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3.6.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беспыльным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либо выполненным из материалов, не оказывающих вредного воздействия на человека.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3.10.2. Рекомендуется в IA, IB,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I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3.12. Игровые и физкультурные площадки для детей оборудуются с учетом их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росто-возрастных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особенностей.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3.13. Во вновь строящихся дошкольных образовательных организациях рекомендуется оборудовать физкультурные площадки (одну или несколько) для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детей в зависимости от вместимости дошкольных образовательных организаций и программой проведения спортивных занятий.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паразитологическим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3.17. На территории хозяйственной зоны возможно размещение овощехранилища.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сухой и жаркой погоде полив территории рекомендуется проводить не менее 2 раз в день.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IV. Требования к зданию, помещениям, оборудованию и их содержанию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4.2. Вместимость дошкольных образовательных организаций определяется заданием на проектирование.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4.3. Здание дошкольной образовательной организации должно иметь этажность не выше трех.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Групповые ячейки для детей до 3 лет располагаются на 1-м этаже.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постирочная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); служебно-бытового назначения для персонала.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между собой отапливаемыми переходами. Неотапливаемые переходы и галереи допускаются только в III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Б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климатическом подрайоне.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Допускается использовать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групповую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,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чем за 30 минут до сна детей, при постоянном проветривании в течение 30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4.14.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с.ш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. и на азимуты 91 - 230 градусов для районов южнее 45 градусов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с.ш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4.16. Остекление окон должно быть выполнено из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цельногостеклополотна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I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Б и IГ климатических подрайонов допускается использовать отапливаемые прогулочные веранды.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 туалете предусматривается место для приготовления дезинфицирующих растворов.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Медицинский блок (медицинский кабинет) должен иметь отдельный вход из коридора.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Не допускается размещать групповые ячейки над помещениями пищеблока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предназначенную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Состав и площади помещений пищеблока (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буфета-раздаточной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определяются заданием на проектирование.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Помещения для хранения пищевых продуктов должны быть не проницаемыми для грызунов.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мясо-рыбный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мясо-рыбной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загрузочная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доготовочный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Доготовочный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горячий и холодный цеха могут быть совмещены в одном помещении и разделены перегородкой.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4.27. В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буфетах-раздаточных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буфетах-раздаточных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должны быть предусмотрены условия для мытья рук.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4.28.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4.32. Питание детей организуется в помещении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групповой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. Доставка пищи от пищеблока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двухгнездными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4.34. Допускается установка посудомоечной машины в буфетных групповых ячейках.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постирочную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Помещения стиральной и гладильной должны быть смежными.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4.36. Вход 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постирочную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не рекомендуется устраивать напротив входа в помещения групповых ячеек.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4.38. При организации работы групп кратковременного пребывания детей должны предусматриваться помещения: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групповая комната для проведения учебных занятий, игр и питания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помещение или место для приготовления пищи, а также для мытья и хранения столовой посуды и приборов;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детская туалетная (с умывальной)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V. Требования к внутренней отделке помещений 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5.2.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умывальные, туалеты и другие) окрашиваются влагостойкими материалами.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утепленными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(или) отапливаемыми, с регулируемым температурным режимом.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VI. Требования к размещению оборудования в помещениях 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Раздевальные оборудуются шкафами для верхней одежды детей и персонала.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Шкафы для одежды и обуви оборудуются индивидуальными ячейками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-п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олками для головных уборов и крючками для верхней одежды. Каждая индивидуальная ячейка маркируется.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пеленальными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Вблизи буфетной рекомендуется устанавливать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пеленальные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пеленального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стола устанавливается бак с крышкой для грязного белья.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6.5. В групповых для детей 1,5 года и старше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столы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140949" cy="1476375"/>
            <wp:effectExtent l="0" t="0" r="0" b="0"/>
            <wp:docPr id="8" name="Рисунок 8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49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Мягконабивные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пенолатексные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6.11. Размещение аквариумов, животных, птиц в помещениях групповых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выкатными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одно - трехуровневыми кроватями.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6.13.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выкатных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одно - трехуровневых кроватях.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наматрасников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из расчета на 1 ребенка. Постельное белье маркируется индивидуально для каждого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туалетной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соответствии с проектом.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В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туалетных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6.16.3.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6.18. Умывальники рекомендуется устанавливать: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на высоту от пола до борта прибора - 0,4 м для детей младшего дошкольного возраста;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на высоту от пола до борта - 0,5 м для детей среднего и старшего дошкольного возраста.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туалетных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устанавливать шкафы для уборочного инвентаря вне туалетных комнат.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VII. Требования к естественному и искусственному освещению помещений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межстекольные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светопропускающими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свойствами.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7.4. При одностороннем освещении глубина групповых помещений должна составлять не более 6 метров.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7.5. Не рекомендуется размещать цветы в горшках на подоконниках в групповых и спальных помещениях.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7.9. Чистка оконных стекол и светильников проводится по мере их загрязнения.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VIII. Требования к отоплению и вентиляции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Ревизия, очистка 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эффективностью работы вентиляционных систем осуществляется не реже 1 раза в год.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Ограждения из древесно-стружечных плит не используются.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- не более 70%.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8.5. Все помещения дошкольной организации должны ежедневно проветриваться.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I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присутствии детей допускается широкая односторонняя аэрация всех помещений в теплое время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помещениях спален сквозное проветривание проводится до дневного сна.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холодное время года фрамуги, форточки закрываются за 10 минут до отхода ко сну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теплое время года сон (дневной и ночной) организуется при открытых окнах (избегая сквозняка).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8.9.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IX. Требования к водоснабжению и канализации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9.2.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постирочную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), в туалетные всех групповых ячеек.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9.3. Вода должна отвечать санитарно-эпидемиологическим требованиям к питьевой воде.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организаций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амблиопией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(или) психическом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развитии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с иными ограниченными возможностями здоровья);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зрения и другие) должно обеспечивать возможность удобного перемещения внутри здания и к игровой площадке.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10.9. Лестницы должны иметь двусторонние поручни и ограждение высотой 1,8 м или сплошное ограждение сеткой.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Предусматривают лифты, пандусы с уклоном 1:6. Пандусы должны иметь резиновое покрытие.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при расчете кратности обмена воздуха не менее 50 м</w:t>
      </w:r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 в час на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скорости ветра более 7 м/с продолжительность прогулки рекомендуется сокращать.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от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6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7 лет - не более 30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XII. Требования к организации физического воспитания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Длительность занятия с каждым ребенком составляет 6 - 10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248275" cy="1197683"/>
            <wp:effectExtent l="0" t="0" r="0" b="0"/>
            <wp:docPr id="9" name="Рисунок 9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9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младшей группе - 15 мин.,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средней группе - 20 мин.,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старшей группе - 25 мин.,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в подготовительной группе - 30 мин.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холодовой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нагрузкой.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термокамере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следует поддерживать температуру воздуха в пределах 60-70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при относительной влажности 15-10%;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продолжительность первого посещения ребенком сауны не должна превышать 3 минут;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XIII. Требования к оборудованию пищеблока, инвентарю, посуде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столы, предназначенные для обработки пищевых продуктов, должны быть цельнометаллическими;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компоты и кисели готовят в посуде из нержавеющей стали. Для кипячения молока выделяют отдельную посуду;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13.6. Для ополаскивания посуды (в том числе столовой) используются гибкие шланги с душевой насадкой.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Сс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добавлением моющих средств; во второй секции - ополаскивают проточной горячей водой с температурой не ниже 65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13.11. Разделочные доски и мелкий деревянный инвентарь (лопатки, мешалки 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другое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Посуду и столовые приборы моют в 2-гнездных ваннах, установленных в буфетных каждой групповой ячейки.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Чашки моют горячей водой с применением моющих сре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дств в п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ервой ванне, ополаскивают горячей проточной водой во второй ванне и просушивают.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13.17. Рабочие столы на пищеблоке и столы в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групповых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Щетки с наличием дефектов и видимых загрязнений, а также металлические мочалки не используются.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дств пр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оводится мытье стен, осветительной арматуры, очистка стекол от пыли и копоти.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13.20. В помещениях пищеблока дезинсекция и дератизация проводится специализированными организациями.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XIV. Требования к условиям хранения, приготовления и реализации пищевых продуктов и кулинарных изделий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Продукция поступает в таре производителя (поставщика).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14.6. Молоко хранится в той же таре, в которой оно поступило или в потребительской упаковке.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14.5. Масло сливочное хранятся на полках в заводской таре или брусками, завернутыми в пергамент, в лотках.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Крупные сыры хранятся на стеллажах, мелкие сыры - на полках в потребительской таре.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Сметана, творог хранятся в таре с крышкой.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допускается оставлять ложки, лопатки в таре со сметаной, творогом.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Плоды и зелень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использовать в пищу.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2 С, но не более одного часа.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запекание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припускание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пассерование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тушение, приготовление на пару, приготовление 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пароконвектомате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 При приготовлении блюд не применяется жарка.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течение 20-25 мин.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порционированное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до раздачи не более 1 часа.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Оладьи, сырники выпекаются в духовом или жарочном шкафу при температуре 180-200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течение 8-10 мин.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Яйцо варят после закипания воды 10 мин.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 изготовлении картофельного (овощного) пюре используется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овощепротирочная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машина.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14.12. Обработку яиц проводят в специально отведенном месте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мясо-рыбного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использование других моющих или дезинфицирующих сре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дств в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оответствии с инструкцией по их применению.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; холодные закуски, салаты, напитки - не ниже +15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 При обработке овощей должны быть соблюдены следующие требования: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допускается предварительное замачивание овощей.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14.16.4.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Овощи, предназначенные для приготовления винегретов и салатов рекомендуется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14.16.5. Варка овощей накануне дня приготовления блюд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14.17. Изготовление салатов и их заправка осуществляется непосредственно перед раздачей.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Хранение заправленных салатов может осуществляться не более 30 минут при температуре 4 2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14.19. Кефир, ряженку, простоквашу и другие кисломолочные продукты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порционируют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чашки непосредственно из пакетов или бутылок перед их раздачей в групповых ячейках.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14.20. В эндемичных по йоду районах рекомендуется использование йодированной поваренной соли.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(для компота) и 35 С (для киселя) непосредственно перед реализацией.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инстантных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14.23. Выдача готовой пищи разрешается только после проведения контроля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бракеражной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правильностью отбора и хранения суточной пробы осуществляется ответственным лицом.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использование пищевых продуктов, указанных в Приложении N 9;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рубленным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бутилированная, по качеству и безопасности должна отвечать требованиям на питьевую воду.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использование кипяченной питьевой воды, при условии ее хранения не более 3 часов.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Обработка дозирующих устрой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ств пр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оводится в соответствии с эксплуатационной документации (инструкции) изготовителя.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14.27. Для питья и разведения молочных смесей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инстантных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XV. Требования к составлению меню для организации питания детей разного возраста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324475" cy="1617821"/>
            <wp:effectExtent l="0" t="0" r="0" b="0"/>
            <wp:docPr id="10" name="Рисунок 10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1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Примечание: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/кг массы тела;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** - потребности для детей первого года жизни, находящихся на искусственном вскармливании.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Перетаривание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готовой кулинарной продукции и блюд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248275" cy="2018567"/>
            <wp:effectExtent l="0" t="0" r="0" b="0"/>
            <wp:docPr id="11" name="Рисунок 11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1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Фактический рацион питания должен соответствовать утвержденному примерному меню.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Суммарные объемы блюд по приемам пищи должны соответствовать Приложению N 13.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.О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стальные продукты (творог, сметана, птица, сыр, яйцо, соки и другие) включаются 2-3 раза в неделю.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на равноценные по составу продукты в соответствии с таблицей замены продуктов по белкам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углеводам (Приложение N 14).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детей, начиная с 9-месячного возраста, оптимальным является прием пищи с интервалом не более 4 часов.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362575" cy="1787525"/>
            <wp:effectExtent l="0" t="0" r="0" b="0"/>
            <wp:docPr id="12" name="Рисунок 12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* При 12-часовом пребывании возможна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организация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как отдельного полдника, так и уплотненного полдника с включением блюд ужина.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XVI. Требования к перевозке и приему пищевых продуктов в дошкольные образовательные организации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Термосы подлежат обработке в соответствии с инструкциями по применению.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XVII. Требования к санитарному содержанию помещений 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Стулья,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пеленальные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Игрушки моют в специально выделенных, промаркированных емкостях.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17.9. В теплое время года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засетчиваются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Очистка шахт вытяжной вентиляции проводится по мере загрязнения.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17.12.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Приобретенные игрушки (за исключением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мягконабивных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Пенолатексныеворсованые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игрушки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мягконабивные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игрушки обрабатываются согласно инструкции изготовителя.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наматрасников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 Чистое белье доставляется в мешках и хранится в шкафах.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постирочную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дератизационных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мероприятий.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распределение детей на медицинские группы для занятий физическим воспитанием;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систематический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организацию 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проведением профилактических и санитарно-противоэпидемических мероприятий;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полнотой ее проведения;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медицинский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пищеблоком и питанием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ведение медицинской документации.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 В целях профилактики контагиозных гельминтозов (энтеробиоза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гименолепидоза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18.2.1. Выявление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инвазированных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18.2.2. Всех выявленных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инвазированных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регистрируют в журнале для инфекционных заболеваний и проводят медикаментозную терапию.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18.2.3. При выявлении 20% и более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инвазированных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дезинвазии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18.2.5. Для профилактики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паразитозов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проводят лабораторный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паразитологические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показатели.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19.1.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4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19.6. Воспитатели и помощники воспитателя обеспечиваются спецодеждой (халаты светлых тонов).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XX. Требования к соблюдению санитарных правил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выполнение требований санитарных правил всеми работниками учреждения;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необходимые условия для соблюдения санитарных правил;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наличие личных медицинских книжек на каждого работника;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организацию мероприятий по дезинфекции, дезинсекции и дератизации;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исправную работу технологического, холодильного и другого оборудования учреждения.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соблюдением требований санитарных правил.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 Рекомендации - добровольного исполнения, не носят обязательный характер.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r w:rsidRPr="004F69E8">
        <w:rPr>
          <w:rFonts w:ascii="Arial" w:eastAsia="Times New Roman" w:hAnsi="Arial" w:cs="Arial"/>
          <w:color w:val="373737"/>
          <w:sz w:val="21"/>
        </w:rPr>
        <w:t> 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4F69E8">
        <w:rPr>
          <w:rFonts w:ascii="Arial" w:eastAsia="Times New Roman" w:hAnsi="Arial" w:cs="Arial"/>
          <w:color w:val="373737"/>
          <w:sz w:val="21"/>
        </w:rPr>
        <w:t> 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Приказ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Минздравсоцразвития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регистрационныйN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22111).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4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 Приказ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Минздравсоцразвития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-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Письмо Минюста России от 17.02.2011, регистрационный N 01/8577-ДК).</w:t>
      </w:r>
      <w:proofErr w:type="gramEnd"/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3657600" cy="9251851"/>
            <wp:effectExtent l="0" t="0" r="0" b="0"/>
            <wp:docPr id="13" name="Рисунок 13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27" cy="927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572125" cy="1743075"/>
            <wp:effectExtent l="0" t="0" r="0" b="0"/>
            <wp:docPr id="14" name="Рисунок 14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49" cy="174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643017" cy="3790950"/>
            <wp:effectExtent l="0" t="0" r="0" b="0"/>
            <wp:docPr id="15" name="Рисунок 15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17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457825" cy="4975017"/>
            <wp:effectExtent l="0" t="0" r="0" b="0"/>
            <wp:docPr id="16" name="Рисунок 16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15" cy="497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485512" cy="2714625"/>
            <wp:effectExtent l="0" t="0" r="0" b="0"/>
            <wp:docPr id="17" name="Рисунок 17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92" cy="271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772150" cy="1383836"/>
            <wp:effectExtent l="0" t="0" r="0" b="0"/>
            <wp:docPr id="18" name="Рисунок 18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8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524500" cy="3229708"/>
            <wp:effectExtent l="0" t="0" r="0" b="0"/>
            <wp:docPr id="19" name="Рисунок 19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44" cy="323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524500" cy="3867150"/>
            <wp:effectExtent l="0" t="0" r="0" b="0"/>
            <wp:docPr id="20" name="Рисунок 20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550383" cy="7855927"/>
            <wp:effectExtent l="0" t="0" r="0" b="0"/>
            <wp:docPr id="21" name="Рисунок 21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8" cy="785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4143375" cy="9296037"/>
            <wp:effectExtent l="0" t="0" r="0" b="0"/>
            <wp:docPr id="22" name="Рисунок 22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82" cy="93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4564309" cy="9134475"/>
            <wp:effectExtent l="0" t="0" r="0" b="0"/>
            <wp:docPr id="23" name="Рисунок 23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53" cy="913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429250" cy="3884002"/>
            <wp:effectExtent l="0" t="0" r="0" b="0"/>
            <wp:docPr id="24" name="Рисунок 24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8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376614" cy="1047750"/>
            <wp:effectExtent l="0" t="0" r="0" b="0"/>
            <wp:docPr id="25" name="Рисунок 25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163" cy="104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295900" cy="9267825"/>
            <wp:effectExtent l="0" t="0" r="0" b="0"/>
            <wp:docPr id="26" name="Рисунок 26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93" cy="927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012675" cy="3200400"/>
            <wp:effectExtent l="0" t="0" r="0" b="0"/>
            <wp:docPr id="27" name="Рисунок 27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038725" cy="2118848"/>
            <wp:effectExtent l="0" t="0" r="0" b="0"/>
            <wp:docPr id="28" name="Рисунок 28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1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150" w:after="0" w:line="240" w:lineRule="auto"/>
        <w:outlineLvl w:val="2"/>
        <w:rPr>
          <w:rFonts w:ascii="PT Serif" w:eastAsia="Times New Roman" w:hAnsi="PT Serif" w:cs="Times New Roman"/>
          <w:b/>
          <w:bCs/>
          <w:color w:val="373737"/>
          <w:sz w:val="21"/>
          <w:szCs w:val="21"/>
        </w:rPr>
      </w:pPr>
      <w:bookmarkStart w:id="1" w:name="attachments"/>
      <w:bookmarkEnd w:id="1"/>
      <w:r w:rsidRPr="004F69E8">
        <w:rPr>
          <w:rFonts w:ascii="PT Serif" w:eastAsia="Times New Roman" w:hAnsi="PT Serif" w:cs="Times New Roman"/>
          <w:b/>
          <w:bCs/>
          <w:color w:val="373737"/>
          <w:sz w:val="21"/>
          <w:szCs w:val="21"/>
        </w:rPr>
        <w:t>Вложенные файлы</w:t>
      </w:r>
    </w:p>
    <w:p w:rsidR="004F69E8" w:rsidRPr="004F69E8" w:rsidRDefault="004F69E8" w:rsidP="004F69E8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B6B6B6"/>
          <w:sz w:val="18"/>
          <w:szCs w:val="18"/>
        </w:rPr>
      </w:pP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9" name="Рисунок 29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anchor="_blank" w:history="1">
        <w:proofErr w:type="spellStart"/>
        <w:proofErr w:type="gramStart"/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автоимпорт</w:t>
        </w:r>
        <w:proofErr w:type="spellEnd"/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 xml:space="preserve"> 6133_10.gif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34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0" name="Рисунок 30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61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1" name="Рисунок 3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№10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74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2" name="Рисунок 32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№11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64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3" name="Рисунок 33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№12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16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4" name="Рисунок 34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№13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6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5" name="Рисунок 35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№14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51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6" name="Рисунок 36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№15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15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7" name="Рисунок 37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№16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9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8" name="Рисунок 38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№2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</w:t>
      </w:r>
      <w:proofErr w:type="gramEnd"/>
      <w:r w:rsidRPr="004F69E8">
        <w:rPr>
          <w:rFonts w:ascii="Arial" w:eastAsia="Times New Roman" w:hAnsi="Arial" w:cs="Arial"/>
          <w:color w:val="B6B6B6"/>
          <w:sz w:val="18"/>
          <w:szCs w:val="18"/>
        </w:rPr>
        <w:t xml:space="preserve">, </w:t>
      </w:r>
      <w:proofErr w:type="gram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11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9" name="Рисунок 39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№3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20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0" name="Рисунок 40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№5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15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1" name="Рисунок 4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№6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6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2" name="Рисунок 42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№7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10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3" name="Рисунок 43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№8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20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4" name="Рисунок 44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№9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44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5" name="Рисунок 45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1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7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6" name="Рисунок 46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2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7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7" name="Рисунок 47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3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8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lastRenderedPageBreak/>
        <w:drawing>
          <wp:inline distT="0" distB="0" distL="0" distR="0">
            <wp:extent cx="152400" cy="152400"/>
            <wp:effectExtent l="19050" t="0" r="0" b="0"/>
            <wp:docPr id="48" name="Рисунок 48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4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</w:t>
      </w:r>
      <w:proofErr w:type="gramEnd"/>
      <w:r w:rsidRPr="004F69E8">
        <w:rPr>
          <w:rFonts w:ascii="Arial" w:eastAsia="Times New Roman" w:hAnsi="Arial" w:cs="Arial"/>
          <w:color w:val="B6B6B6"/>
          <w:sz w:val="18"/>
          <w:szCs w:val="18"/>
        </w:rPr>
        <w:t xml:space="preserve">, </w:t>
      </w:r>
      <w:proofErr w:type="gram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14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9" name="Рисунок 49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5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9 Кб)</w:t>
      </w:r>
      <w:proofErr w:type="gramEnd"/>
    </w:p>
    <w:p w:rsidR="00B07F11" w:rsidRDefault="00B07F11"/>
    <w:sectPr w:rsidR="00B07F11" w:rsidSect="00FA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9E8"/>
    <w:rsid w:val="004119DD"/>
    <w:rsid w:val="004F69E8"/>
    <w:rsid w:val="007621EB"/>
    <w:rsid w:val="00B07F11"/>
    <w:rsid w:val="00FA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A6"/>
  </w:style>
  <w:style w:type="paragraph" w:styleId="1">
    <w:name w:val="heading 1"/>
    <w:basedOn w:val="a"/>
    <w:link w:val="10"/>
    <w:uiPriority w:val="9"/>
    <w:qFormat/>
    <w:rsid w:val="004F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6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6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69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69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F69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F69E8"/>
  </w:style>
  <w:style w:type="character" w:styleId="a3">
    <w:name w:val="Hyperlink"/>
    <w:basedOn w:val="a0"/>
    <w:uiPriority w:val="99"/>
    <w:semiHidden/>
    <w:unhideWhenUsed/>
    <w:rsid w:val="004F69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9E8"/>
    <w:rPr>
      <w:color w:val="800080"/>
      <w:u w:val="single"/>
    </w:rPr>
  </w:style>
  <w:style w:type="character" w:customStyle="1" w:styleId="comments">
    <w:name w:val="comments"/>
    <w:basedOn w:val="a0"/>
    <w:rsid w:val="004F69E8"/>
  </w:style>
  <w:style w:type="character" w:customStyle="1" w:styleId="tik-text">
    <w:name w:val="tik-text"/>
    <w:basedOn w:val="a0"/>
    <w:rsid w:val="004F69E8"/>
  </w:style>
  <w:style w:type="paragraph" w:styleId="a5">
    <w:name w:val="Normal (Web)"/>
    <w:basedOn w:val="a"/>
    <w:uiPriority w:val="99"/>
    <w:semiHidden/>
    <w:unhideWhenUsed/>
    <w:rsid w:val="004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26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18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72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hyperlink" Target="http://img.rg.ru/pril/81/66/68/6133_11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yperlink" Target="http://img.rg.ru/pril/81/66/68/6133_20.gif" TargetMode="External"/><Relationship Id="rId42" Type="http://schemas.openxmlformats.org/officeDocument/2006/relationships/hyperlink" Target="http://img.rg.ru/pril/81/66/68/6133_14.gif" TargetMode="External"/><Relationship Id="rId47" Type="http://schemas.openxmlformats.org/officeDocument/2006/relationships/hyperlink" Target="http://img.rg.ru/pril/81/66/68/6133_5.gif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://img.rg.ru/pril/81/66/68/6133_19.gif" TargetMode="External"/><Relationship Id="rId38" Type="http://schemas.openxmlformats.org/officeDocument/2006/relationships/hyperlink" Target="http://img.rg.ru/pril/81/66/68/6133_9.gif" TargetMode="External"/><Relationship Id="rId46" Type="http://schemas.openxmlformats.org/officeDocument/2006/relationships/hyperlink" Target="http://img.rg.ru/pril/81/66/68/6133_4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yperlink" Target="http://img.rg.ru/pril/81/66/68/6133_7.gif" TargetMode="External"/><Relationship Id="rId41" Type="http://schemas.openxmlformats.org/officeDocument/2006/relationships/hyperlink" Target="http://img.rg.ru/pril/81/66/68/6133_13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://img.rg.ru/pril/81/66/68/6133_18.gif" TargetMode="External"/><Relationship Id="rId37" Type="http://schemas.openxmlformats.org/officeDocument/2006/relationships/hyperlink" Target="http://img.rg.ru/pril/81/66/68/6133_8.gif" TargetMode="External"/><Relationship Id="rId40" Type="http://schemas.openxmlformats.org/officeDocument/2006/relationships/hyperlink" Target="http://img.rg.ru/pril/81/66/68/6133_12.gif" TargetMode="External"/><Relationship Id="rId45" Type="http://schemas.openxmlformats.org/officeDocument/2006/relationships/hyperlink" Target="http://img.rg.ru/pril/81/66/68/6133_3.gif" TargetMode="External"/><Relationship Id="rId5" Type="http://schemas.openxmlformats.org/officeDocument/2006/relationships/hyperlink" Target="http://www.rg.ru/gazeta/rg/2013/07/19.html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hyperlink" Target="http://img.rg.ru/pril/81/66/68/6133_10.gif" TargetMode="External"/><Relationship Id="rId36" Type="http://schemas.openxmlformats.org/officeDocument/2006/relationships/hyperlink" Target="http://img.rg.ru/pril/81/66/68/6133_22.gi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yperlink" Target="http://img.rg.ru/pril/81/66/68/6133_17.gif" TargetMode="External"/><Relationship Id="rId44" Type="http://schemas.openxmlformats.org/officeDocument/2006/relationships/hyperlink" Target="http://img.rg.ru/pril/81/66/68/6133_2.gif" TargetMode="External"/><Relationship Id="rId4" Type="http://schemas.openxmlformats.org/officeDocument/2006/relationships/hyperlink" Target="http://www.rg.ru/2013/07/19/sanpin-dok.html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hyperlink" Target="http://img.rg.ru/pril/81/66/68/6133_16.gif" TargetMode="External"/><Relationship Id="rId35" Type="http://schemas.openxmlformats.org/officeDocument/2006/relationships/hyperlink" Target="http://img.rg.ru/pril/81/66/68/6133_21.gif" TargetMode="External"/><Relationship Id="rId43" Type="http://schemas.openxmlformats.org/officeDocument/2006/relationships/hyperlink" Target="http://img.rg.ru/pril/81/66/68/6133_15.gif" TargetMode="External"/><Relationship Id="rId48" Type="http://schemas.openxmlformats.org/officeDocument/2006/relationships/hyperlink" Target="http://img.rg.ru/pril/81/66/68/6133_6.gif" TargetMode="External"/><Relationship Id="rId8" Type="http://schemas.openxmlformats.org/officeDocument/2006/relationships/image" Target="media/image3.gif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18079</Words>
  <Characters>103056</Characters>
  <Application>Microsoft Office Word</Application>
  <DocSecurity>0</DocSecurity>
  <Lines>858</Lines>
  <Paragraphs>241</Paragraphs>
  <ScaleCrop>false</ScaleCrop>
  <Company>Дом</Company>
  <LinksUpToDate>false</LinksUpToDate>
  <CharactersWithSpaces>120894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Ирина</cp:lastModifiedBy>
  <cp:revision>2</cp:revision>
  <dcterms:created xsi:type="dcterms:W3CDTF">2016-07-06T01:07:00Z</dcterms:created>
  <dcterms:modified xsi:type="dcterms:W3CDTF">2016-07-06T01:07:00Z</dcterms:modified>
</cp:coreProperties>
</file>